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41" w:rsidRDefault="00D01D41" w:rsidP="00297311"/>
    <w:p w:rsidR="00297311" w:rsidRDefault="00297311" w:rsidP="00297311">
      <w:pPr>
        <w:spacing w:after="200"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71171D" w:rsidRPr="0071171D" w:rsidRDefault="0071171D" w:rsidP="0071171D">
      <w:pPr>
        <w:spacing w:after="200" w:line="276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71171D">
        <w:rPr>
          <w:rFonts w:eastAsiaTheme="minorHAnsi" w:cstheme="minorBidi"/>
          <w:b/>
          <w:sz w:val="24"/>
          <w:szCs w:val="24"/>
          <w:lang w:eastAsia="en-US"/>
        </w:rPr>
        <w:t>Projektübersicht</w:t>
      </w:r>
    </w:p>
    <w:p w:rsidR="0071171D" w:rsidRPr="0071171D" w:rsidRDefault="0071171D" w:rsidP="0071171D">
      <w:pPr>
        <w:spacing w:line="240" w:lineRule="auto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71171D">
        <w:rPr>
          <w:rFonts w:eastAsia="Calibri" w:cs="Calibri"/>
          <w:b/>
          <w:sz w:val="22"/>
          <w:szCs w:val="22"/>
          <w:lang w:eastAsia="en-US"/>
        </w:rPr>
        <w:t>MiQua. LVR-Jüdisches Museum im Archäologischen Quartier Köln</w:t>
      </w:r>
    </w:p>
    <w:p w:rsidR="0071171D" w:rsidRPr="0071171D" w:rsidRDefault="0071171D" w:rsidP="0071171D">
      <w:pPr>
        <w:spacing w:line="240" w:lineRule="auto"/>
        <w:jc w:val="center"/>
        <w:rPr>
          <w:rFonts w:eastAsiaTheme="minorHAnsi" w:cstheme="minorBidi"/>
          <w:sz w:val="22"/>
          <w:szCs w:val="22"/>
          <w:lang w:eastAsia="en-US"/>
        </w:rPr>
      </w:pPr>
      <w:r w:rsidRPr="0071171D">
        <w:rPr>
          <w:rFonts w:eastAsiaTheme="minorHAnsi" w:cstheme="minorBidi"/>
          <w:sz w:val="22"/>
          <w:szCs w:val="22"/>
          <w:lang w:eastAsia="en-US"/>
        </w:rPr>
        <w:t>(</w:t>
      </w:r>
      <w:hyperlink r:id="rId7" w:history="1">
        <w:r w:rsidRPr="0071171D">
          <w:rPr>
            <w:rFonts w:eastAsia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https://miqua.blog/</w:t>
        </w:r>
      </w:hyperlink>
      <w:r w:rsidRPr="0071171D">
        <w:rPr>
          <w:rFonts w:eastAsiaTheme="minorHAnsi" w:cstheme="minorBidi"/>
          <w:sz w:val="22"/>
          <w:szCs w:val="22"/>
          <w:lang w:eastAsia="en-US"/>
        </w:rPr>
        <w:t>)</w:t>
      </w:r>
    </w:p>
    <w:p w:rsidR="0071171D" w:rsidRPr="0071171D" w:rsidRDefault="0071171D" w:rsidP="0071171D">
      <w:pPr>
        <w:spacing w:after="120" w:line="276" w:lineRule="auto"/>
        <w:jc w:val="center"/>
        <w:rPr>
          <w:rFonts w:eastAsiaTheme="minorHAnsi" w:cstheme="minorBidi"/>
          <w:sz w:val="18"/>
          <w:szCs w:val="18"/>
          <w:lang w:eastAsia="en-US"/>
        </w:rPr>
      </w:pPr>
    </w:p>
    <w:p w:rsidR="0071171D" w:rsidRPr="0071171D" w:rsidRDefault="0071171D" w:rsidP="0071171D">
      <w:pPr>
        <w:tabs>
          <w:tab w:val="left" w:pos="2552"/>
        </w:tabs>
        <w:spacing w:after="24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b/>
          <w:sz w:val="18"/>
          <w:szCs w:val="18"/>
          <w:lang w:eastAsia="en-US"/>
        </w:rPr>
        <w:t>Wanderausstellung</w:t>
      </w:r>
      <w:r w:rsidRPr="0071171D">
        <w:rPr>
          <w:rFonts w:eastAsiaTheme="minorHAnsi" w:cstheme="minorBidi"/>
          <w:sz w:val="18"/>
          <w:szCs w:val="18"/>
          <w:lang w:eastAsia="en-US"/>
        </w:rPr>
        <w:t xml:space="preserve"> „Menschen – Bilder – Orte. 1700 Jahre jüdisches Leben in Deutschland“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10.03.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27.04., Essen, Alte Synagoge Essen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06.05.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25.06., Münster, LWL-Landeshaus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02.07.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12.08., Köln, LVR-Landeshaus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24.08.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15.10., Wesel, LVR-Niederrheinmuseum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24.10.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12.12., Dortmund, Museum für Kunst und Kulturgeschichte</w:t>
      </w:r>
    </w:p>
    <w:p w:rsidR="0071171D" w:rsidRPr="0071171D" w:rsidRDefault="0071171D" w:rsidP="0071171D">
      <w:pPr>
        <w:tabs>
          <w:tab w:val="left" w:pos="2552"/>
        </w:tabs>
        <w:spacing w:before="240" w:after="200" w:line="287" w:lineRule="atLeast"/>
        <w:rPr>
          <w:rFonts w:eastAsiaTheme="minorHAnsi" w:cs="Segoe UI Light"/>
          <w:sz w:val="18"/>
          <w:szCs w:val="18"/>
          <w:lang w:eastAsia="en-US"/>
        </w:rPr>
      </w:pPr>
      <w:r w:rsidRPr="0071171D">
        <w:rPr>
          <w:rFonts w:eastAsiaTheme="minorHAnsi" w:cs="Segoe UI Light"/>
          <w:b/>
          <w:sz w:val="18"/>
          <w:szCs w:val="18"/>
          <w:lang w:eastAsia="en-US"/>
        </w:rPr>
        <w:t xml:space="preserve">Wissenschaftliche Fachtagung </w:t>
      </w:r>
      <w:r w:rsidRPr="0071171D">
        <w:rPr>
          <w:rFonts w:eastAsiaTheme="minorHAnsi" w:cs="Segoe UI Light"/>
          <w:sz w:val="18"/>
          <w:szCs w:val="18"/>
          <w:lang w:eastAsia="en-US"/>
        </w:rPr>
        <w:t>„Jüdische Geschichte und Gegenwart in Deutschland. Aktuelle Fragen und Positionen“,</w:t>
      </w:r>
      <w:r w:rsidRPr="0071171D">
        <w:rPr>
          <w:rFonts w:eastAsiaTheme="minorHAnsi" w:cs="Segoe UI Light"/>
          <w:b/>
          <w:sz w:val="18"/>
          <w:szCs w:val="18"/>
          <w:lang w:eastAsia="en-US"/>
        </w:rPr>
        <w:t xml:space="preserve"> </w:t>
      </w:r>
      <w:r w:rsidRPr="0071171D">
        <w:rPr>
          <w:rFonts w:eastAsiaTheme="minorHAnsi" w:cs="Segoe UI Light"/>
          <w:sz w:val="18"/>
          <w:szCs w:val="18"/>
          <w:lang w:eastAsia="en-US"/>
        </w:rPr>
        <w:t xml:space="preserve">Kooperation MiQua-Heinrich-Heine-Universität Düsseldorf/Institut für Jüdische Studien (digitales Veranstaltungsformat), 12./13.04., </w:t>
      </w:r>
      <w:r w:rsidRPr="0071171D">
        <w:rPr>
          <w:rFonts w:eastAsiaTheme="minorHAnsi" w:cs="Segoe UI Light"/>
          <w:b/>
          <w:sz w:val="18"/>
          <w:szCs w:val="18"/>
          <w:lang w:eastAsia="en-US"/>
        </w:rPr>
        <w:t xml:space="preserve">Publikation </w:t>
      </w:r>
      <w:r w:rsidRPr="0071171D">
        <w:rPr>
          <w:rFonts w:eastAsiaTheme="minorHAnsi" w:cs="Segoe UI Light"/>
          <w:sz w:val="18"/>
          <w:szCs w:val="18"/>
          <w:lang w:eastAsia="en-US"/>
        </w:rPr>
        <w:t>der Tagungsdokumentation, erschienen im Nünnerich-Asmus-Verlag.</w:t>
      </w:r>
    </w:p>
    <w:p w:rsidR="0071171D" w:rsidRPr="0071171D" w:rsidRDefault="0071171D" w:rsidP="0071171D">
      <w:pPr>
        <w:spacing w:before="240"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b/>
          <w:sz w:val="18"/>
          <w:szCs w:val="18"/>
          <w:lang w:eastAsia="en-US"/>
        </w:rPr>
        <w:t>Veranstaltungsreihe</w:t>
      </w:r>
      <w:r w:rsidRPr="0071171D">
        <w:rPr>
          <w:rFonts w:eastAsiaTheme="minorHAnsi" w:cstheme="minorBidi"/>
          <w:b/>
          <w:sz w:val="18"/>
          <w:szCs w:val="18"/>
          <w:lang w:eastAsia="en-US"/>
        </w:rPr>
        <w:br/>
      </w:r>
      <w:r w:rsidRPr="0071171D">
        <w:rPr>
          <w:rFonts w:eastAsiaTheme="minorHAnsi" w:cstheme="minorBidi"/>
          <w:sz w:val="18"/>
          <w:szCs w:val="18"/>
          <w:lang w:eastAsia="en-US"/>
        </w:rPr>
        <w:t>Lesung "Der Klang hebräischer Poesie im Amsterdam Machsor" von Prof. Dr. Elisabeth Hollender und Prof. Dr. Efrat Gal-Ed (digitales Veranstaltungsformat), 12.04.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Gesprächsrunde „Miteinander Zukunft gestalten – Jüdisches Leben in Deutschland“, Kooperation MiQua-Landesvertretung des Landes NRW beim Bund (Live-Stream auf Youtube), 21.04.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Vortrag Prof. Dr. Hanna Liss: „Die jüdischen Gesetze zur rituellen Reinheit: damals und heute“. Kooperation mit den Römerthermen Zülpich – Museum für Badekultur (digitales Veranstaltungsformat), 10.06.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Vortrag Dr. Rainer Barzen: „Gelehrte, Helden, Märtyrer. Jüdische Gemeinden am Rhein im Mittelalter“, Köln, Kooperation MiQua-Germania Judaica (digitales Veranstaltungsformat), 22.07.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Konzert mit dem Tenor Aron und Olga Proujanski (Klavier), Köln, Kooperation MiQua-Citykirchenzentrum im AntoniterQuartier, 18.08.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Künstlergespräch „Kunst, Kultur und Erinnerung“ mit Yury Kharchenko, Kay Heymer, Prof. Dr. Micha Brumlik und Rita Kersting, Moderation: Dr. Michael Köhler, Köln, Stiftersaal des Wallraf-Richartz-Museums, 05.10.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Vortrag Prof. Dr. Werner Eck „Der Erlass von 321 n.Chr. zur Aufnahme von Juden in den Rat. Abbau von Ressentiments oder Last?“, Köln, Kooperation MiQua-Kunstfreunde des Wallraf-Richartz-Museum und des Museum Ludwig, Köln, Stiftersaal des Wallraf-Richartz-Museums, 07.10.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 xml:space="preserve">Autorinnenlesung „Die Fischers, </w:t>
      </w:r>
      <w:proofErr w:type="gramStart"/>
      <w:r w:rsidRPr="0071171D">
        <w:rPr>
          <w:rFonts w:eastAsiaTheme="minorHAnsi" w:cstheme="minorBidi"/>
          <w:sz w:val="18"/>
          <w:szCs w:val="18"/>
          <w:lang w:eastAsia="en-US"/>
        </w:rPr>
        <w:t>die Hamburgers</w:t>
      </w:r>
      <w:proofErr w:type="gramEnd"/>
      <w:r w:rsidRPr="0071171D">
        <w:rPr>
          <w:rFonts w:eastAsiaTheme="minorHAnsi" w:cstheme="minorBidi"/>
          <w:sz w:val="18"/>
          <w:szCs w:val="18"/>
          <w:lang w:eastAsia="en-US"/>
        </w:rPr>
        <w:t xml:space="preserve"> und die Bánds“, Lesung von Katalin Fischer, Kooperation MiQua-ZERG der Universität Bonn, 27.10.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 xml:space="preserve">Podiumsgespräch „Queer und gläubig </w:t>
      </w:r>
      <w:r w:rsidRPr="0071171D">
        <w:rPr>
          <w:rFonts w:eastAsiaTheme="minorHAnsi" w:cs="Segoe UI Light"/>
          <w:sz w:val="18"/>
          <w:szCs w:val="18"/>
          <w:lang w:eastAsia="en-US"/>
        </w:rPr>
        <w:t xml:space="preserve">– </w:t>
      </w:r>
      <w:r w:rsidRPr="0071171D">
        <w:rPr>
          <w:rFonts w:eastAsiaTheme="minorHAnsi" w:cstheme="minorBidi"/>
          <w:sz w:val="18"/>
          <w:szCs w:val="18"/>
          <w:lang w:eastAsia="en-US"/>
        </w:rPr>
        <w:t>geht das?“, Kooperation MiQua-ZERG der Universität Bonn und dem Verein Keshet Deutschland e.V., Universität Bonn, 03.11.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lastRenderedPageBreak/>
        <w:t xml:space="preserve">Autobiographische Erzählung von Herrn Dr. Klaus </w:t>
      </w:r>
      <w:proofErr w:type="spellStart"/>
      <w:r w:rsidRPr="0071171D">
        <w:rPr>
          <w:rFonts w:eastAsiaTheme="minorHAnsi" w:cstheme="minorBidi"/>
          <w:sz w:val="18"/>
          <w:szCs w:val="18"/>
          <w:lang w:eastAsia="en-US"/>
        </w:rPr>
        <w:t>Grosspeter</w:t>
      </w:r>
      <w:proofErr w:type="spellEnd"/>
      <w:r w:rsidRPr="0071171D">
        <w:rPr>
          <w:rFonts w:eastAsiaTheme="minorHAnsi" w:cstheme="minorBidi"/>
          <w:sz w:val="18"/>
          <w:szCs w:val="18"/>
          <w:lang w:eastAsia="en-US"/>
        </w:rPr>
        <w:t xml:space="preserve"> zum Kölner Goldschmied Fritz Deutsch, Kooperation MiQua-Synagogen Gemeinde Köln, Gemeindesaal der Synagogen Gemeinde Köln, 16.11.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Vortrag Dr. Christiane Twiehaus „Synagogenarchitektur in Deutschland: von Worms über Köln nach Hamburg“, Kooperation MiQua-Stadt Pulheim, Synagoge Stommeln, 18.11.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Vortrag &amp; Sofer-Workshop „Jüdische Schriftkultur“, Kooperation MiQua-Zentrum für Religion und Gesellschaft der Universität Bonn (ZERG), verschoben nach 2022.</w:t>
      </w:r>
    </w:p>
    <w:p w:rsidR="0071171D" w:rsidRPr="0071171D" w:rsidRDefault="0071171D" w:rsidP="0071171D">
      <w:pPr>
        <w:spacing w:before="240" w:line="287" w:lineRule="atLeast"/>
        <w:rPr>
          <w:rFonts w:eastAsiaTheme="minorHAnsi" w:cstheme="minorBidi"/>
          <w:b/>
          <w:sz w:val="18"/>
          <w:szCs w:val="18"/>
          <w:lang w:eastAsia="en-US"/>
        </w:rPr>
      </w:pPr>
      <w:r w:rsidRPr="0071171D">
        <w:rPr>
          <w:rFonts w:eastAsiaTheme="minorHAnsi" w:cstheme="minorBidi"/>
          <w:b/>
          <w:sz w:val="18"/>
          <w:szCs w:val="18"/>
          <w:lang w:eastAsia="en-US"/>
        </w:rPr>
        <w:t>Kooperationen mit den Universitäten Köln, Berlin und Düsseldorf im Sommersemester 2021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Seminar „Archäologische Quellen zum jüdischen Kulturerbe des ersten Jahrtausends“, Kooperation MiQua-Archäologischen Institut der Universität zu Köln (digitales Veranstaltungsformat), April – Juli 2021.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Seminar „Theorien und Formen der Geschichtsdarstellung/Historisches Lernen und Geschichtskultur“, Kooperation MiQua mit Public History-Studiengängen der Freien Universität Berlin und der Universität Köln, gemeinsam mit der interaktiven Website „Jewish Places“ des Jüdischen Museums Berlin (digitales</w:t>
      </w:r>
      <w:bookmarkStart w:id="0" w:name="_GoBack"/>
      <w:bookmarkEnd w:id="0"/>
      <w:r w:rsidRPr="0071171D">
        <w:rPr>
          <w:rFonts w:eastAsiaTheme="minorHAnsi" w:cstheme="minorBidi"/>
          <w:sz w:val="18"/>
          <w:szCs w:val="18"/>
          <w:lang w:eastAsia="en-US"/>
        </w:rPr>
        <w:t xml:space="preserve"> Veranstaltungsformat), April 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 xml:space="preserve"> Juli 2021.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 xml:space="preserve">3tägiges Blockseminar „Texte für Ausstellungen erstellen: Objektarbeit mit dem MiQua. LVR-Jüdisches Museum im Archäologischen Quartier Köln“, </w:t>
      </w:r>
      <w:r w:rsidR="0089238F" w:rsidRPr="0089238F">
        <w:rPr>
          <w:rFonts w:eastAsiaTheme="minorHAnsi" w:cstheme="minorBidi"/>
          <w:sz w:val="18"/>
          <w:szCs w:val="18"/>
          <w:lang w:eastAsia="en-US"/>
        </w:rPr>
        <w:t>Kooperation mit Heinrich-Heine-Universität Düsseldorf/Institut für Jüdische Studien</w:t>
      </w:r>
      <w:r w:rsidR="0089238F">
        <w:rPr>
          <w:rFonts w:eastAsiaTheme="minorHAnsi" w:cstheme="minorBidi"/>
          <w:sz w:val="18"/>
          <w:szCs w:val="18"/>
          <w:lang w:eastAsia="en-US"/>
        </w:rPr>
        <w:t>,</w:t>
      </w:r>
      <w:r w:rsidR="0089238F" w:rsidRPr="0089238F">
        <w:rPr>
          <w:rFonts w:eastAsiaTheme="minorHAnsi" w:cstheme="minorBidi"/>
          <w:sz w:val="18"/>
          <w:szCs w:val="18"/>
          <w:lang w:eastAsia="en-US"/>
        </w:rPr>
        <w:t xml:space="preserve"> </w:t>
      </w:r>
      <w:r w:rsidRPr="0071171D">
        <w:rPr>
          <w:rFonts w:eastAsiaTheme="minorHAnsi" w:cstheme="minorBidi"/>
          <w:sz w:val="18"/>
          <w:szCs w:val="18"/>
          <w:lang w:eastAsia="en-US"/>
        </w:rPr>
        <w:t>September 2021.</w:t>
      </w:r>
    </w:p>
    <w:p w:rsidR="0071171D" w:rsidRPr="0071171D" w:rsidRDefault="0071171D" w:rsidP="0071171D">
      <w:pPr>
        <w:spacing w:before="240" w:line="287" w:lineRule="atLeast"/>
        <w:rPr>
          <w:rFonts w:eastAsiaTheme="minorHAnsi" w:cstheme="minorBidi"/>
          <w:b/>
          <w:sz w:val="18"/>
          <w:szCs w:val="18"/>
          <w:lang w:eastAsia="en-US"/>
        </w:rPr>
      </w:pPr>
      <w:r w:rsidRPr="0071171D">
        <w:rPr>
          <w:rFonts w:eastAsiaTheme="minorHAnsi" w:cstheme="minorBidi"/>
          <w:b/>
          <w:sz w:val="18"/>
          <w:szCs w:val="18"/>
          <w:lang w:eastAsia="en-US"/>
        </w:rPr>
        <w:t>Ausstellung „In die Weite“</w:t>
      </w: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theme="minorBidi"/>
          <w:sz w:val="18"/>
          <w:szCs w:val="18"/>
          <w:lang w:eastAsia="en-US"/>
        </w:rPr>
        <w:t>Kooperation MiQua-Kolumba, Kunstmuseum des Erzbistums Köln, 15.09.2021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15.08.2022.</w:t>
      </w:r>
    </w:p>
    <w:p w:rsidR="0071171D" w:rsidRPr="0071171D" w:rsidRDefault="0071171D" w:rsidP="0071171D">
      <w:pPr>
        <w:spacing w:before="480" w:line="240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71171D">
        <w:rPr>
          <w:rFonts w:eastAsia="Calibri" w:cs="Calibri"/>
          <w:b/>
          <w:sz w:val="24"/>
          <w:szCs w:val="24"/>
          <w:lang w:eastAsia="en-US"/>
        </w:rPr>
        <w:t>Aktivitäten LVR-KULTURHAUS Landsynagoge Rödingen</w:t>
      </w:r>
    </w:p>
    <w:p w:rsidR="0071171D" w:rsidRPr="0071171D" w:rsidRDefault="0071171D" w:rsidP="0071171D">
      <w:pPr>
        <w:spacing w:line="240" w:lineRule="auto"/>
        <w:jc w:val="center"/>
        <w:rPr>
          <w:rFonts w:eastAsiaTheme="minorHAnsi" w:cstheme="minorBidi"/>
          <w:sz w:val="22"/>
          <w:szCs w:val="22"/>
          <w:lang w:eastAsia="en-US"/>
        </w:rPr>
      </w:pPr>
      <w:r w:rsidRPr="0071171D">
        <w:rPr>
          <w:rFonts w:eastAsiaTheme="minorHAnsi" w:cstheme="minorBidi"/>
          <w:sz w:val="22"/>
          <w:szCs w:val="22"/>
          <w:lang w:eastAsia="en-US"/>
        </w:rPr>
        <w:t>(</w:t>
      </w:r>
      <w:hyperlink r:id="rId8" w:history="1">
        <w:r w:rsidRPr="0071171D">
          <w:rPr>
            <w:rFonts w:eastAsia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https://synagoge-roedingen.lvr.de</w:t>
        </w:r>
      </w:hyperlink>
      <w:r w:rsidRPr="0071171D">
        <w:rPr>
          <w:rFonts w:eastAsiaTheme="minorHAnsi" w:cstheme="minorBidi"/>
          <w:sz w:val="22"/>
          <w:szCs w:val="22"/>
          <w:lang w:eastAsia="en-US"/>
        </w:rPr>
        <w:t>)</w:t>
      </w:r>
    </w:p>
    <w:p w:rsidR="0071171D" w:rsidRPr="0071171D" w:rsidRDefault="0071171D" w:rsidP="0071171D">
      <w:pPr>
        <w:spacing w:after="120" w:line="276" w:lineRule="auto"/>
        <w:jc w:val="center"/>
        <w:rPr>
          <w:rFonts w:eastAsiaTheme="minorHAnsi" w:cstheme="minorBidi"/>
          <w:sz w:val="18"/>
          <w:szCs w:val="18"/>
          <w:lang w:eastAsia="en-US"/>
        </w:rPr>
      </w:pPr>
    </w:p>
    <w:p w:rsidR="0071171D" w:rsidRPr="0071171D" w:rsidRDefault="0071171D" w:rsidP="0071171D">
      <w:pPr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="Segoe UI Light"/>
          <w:b/>
          <w:sz w:val="18"/>
          <w:szCs w:val="18"/>
          <w:lang w:eastAsia="en-US"/>
        </w:rPr>
        <w:t xml:space="preserve">Mobile Outdoor-Wanderausstellung </w:t>
      </w:r>
      <w:r w:rsidRPr="0071171D">
        <w:rPr>
          <w:rFonts w:eastAsiaTheme="minorHAnsi" w:cs="Segoe UI Light"/>
          <w:sz w:val="18"/>
          <w:szCs w:val="18"/>
          <w:lang w:eastAsia="en-US"/>
        </w:rPr>
        <w:t xml:space="preserve">„Jüdisches Leben im Rheinland von 321 bis </w:t>
      </w:r>
      <w:r w:rsidRPr="0071171D">
        <w:rPr>
          <w:rFonts w:eastAsiaTheme="minorHAnsi" w:cstheme="minorBidi"/>
          <w:sz w:val="18"/>
          <w:szCs w:val="18"/>
          <w:lang w:eastAsia="en-US"/>
        </w:rPr>
        <w:t>heute“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28./29.08., Vogelsang IP.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 xml:space="preserve">07.09., Emmerich, Neujahrsfest/Rosch haSchana. 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12.09., Opladen, Geschichts- und Städtepartnerschaftsfest.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14.</w:t>
      </w:r>
      <w:r w:rsidRPr="0071171D">
        <w:rPr>
          <w:rFonts w:eastAsiaTheme="minorHAnsi" w:cs="Segoe UI Light"/>
          <w:sz w:val="18"/>
          <w:szCs w:val="18"/>
          <w:lang w:eastAsia="en-US"/>
        </w:rPr>
        <w:t>–</w:t>
      </w:r>
      <w:r w:rsidRPr="0071171D">
        <w:rPr>
          <w:rFonts w:eastAsiaTheme="minorHAnsi" w:cstheme="minorBidi"/>
          <w:sz w:val="18"/>
          <w:szCs w:val="18"/>
          <w:lang w:eastAsia="en-US"/>
        </w:rPr>
        <w:t>16.09., Wassenberg, Betty-Reis-Gesamtschule.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19.09., Moers, Israel-Tag.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21.09., Rödingen, Korneliusmarkt.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07.10., Heinsberg.</w:t>
      </w:r>
      <w:r w:rsidRPr="0071171D">
        <w:rPr>
          <w:rFonts w:eastAsiaTheme="minorHAnsi" w:cstheme="minorBidi"/>
          <w:sz w:val="18"/>
          <w:szCs w:val="18"/>
          <w:lang w:eastAsia="en-US"/>
        </w:rPr>
        <w:br/>
        <w:t>09./10.10., Niederzissen, Bahnfest im Brohltal.</w:t>
      </w:r>
    </w:p>
    <w:p w:rsidR="0071171D" w:rsidRPr="0071171D" w:rsidRDefault="0071171D" w:rsidP="0071171D">
      <w:pPr>
        <w:tabs>
          <w:tab w:val="left" w:pos="2552"/>
        </w:tabs>
        <w:spacing w:before="240" w:after="200" w:line="287" w:lineRule="atLeast"/>
        <w:rPr>
          <w:rFonts w:eastAsiaTheme="minorHAnsi" w:cs="Segoe UI Light"/>
          <w:sz w:val="18"/>
          <w:szCs w:val="18"/>
          <w:lang w:eastAsia="en-US"/>
        </w:rPr>
      </w:pPr>
      <w:r w:rsidRPr="0071171D">
        <w:rPr>
          <w:rFonts w:eastAsiaTheme="minorHAnsi" w:cs="Segoe UI Light"/>
          <w:b/>
          <w:sz w:val="18"/>
          <w:szCs w:val="18"/>
          <w:lang w:eastAsia="en-US"/>
        </w:rPr>
        <w:t>Social-Media-Projekt „3…2…1. Los geht's!“</w:t>
      </w:r>
      <w:r w:rsidRPr="0071171D">
        <w:rPr>
          <w:rFonts w:eastAsiaTheme="minorHAnsi" w:cs="Segoe UI Light"/>
          <w:b/>
          <w:sz w:val="18"/>
          <w:szCs w:val="18"/>
          <w:lang w:eastAsia="en-US"/>
        </w:rPr>
        <w:br/>
      </w:r>
      <w:r w:rsidRPr="0071171D">
        <w:rPr>
          <w:rFonts w:eastAsiaTheme="minorHAnsi" w:cs="Segoe UI Light"/>
          <w:sz w:val="18"/>
          <w:szCs w:val="18"/>
          <w:lang w:eastAsia="en-US"/>
        </w:rPr>
        <w:t>3 Posts pro Woche auf dem Instagram-Kanal @</w:t>
      </w:r>
      <w:proofErr w:type="spellStart"/>
      <w:r w:rsidRPr="0071171D">
        <w:rPr>
          <w:rFonts w:eastAsiaTheme="minorHAnsi" w:cs="Segoe UI Light"/>
          <w:sz w:val="18"/>
          <w:szCs w:val="18"/>
          <w:lang w:eastAsia="en-US"/>
        </w:rPr>
        <w:t>landsynagoge</w:t>
      </w:r>
      <w:proofErr w:type="spellEnd"/>
      <w:r w:rsidRPr="0071171D">
        <w:rPr>
          <w:rFonts w:eastAsiaTheme="minorHAnsi" w:cs="Segoe UI Light"/>
          <w:sz w:val="18"/>
          <w:szCs w:val="18"/>
          <w:lang w:eastAsia="en-US"/>
        </w:rPr>
        <w:t>, Januar – Dezember 2021.</w:t>
      </w:r>
    </w:p>
    <w:p w:rsidR="00297311" w:rsidRPr="0071171D" w:rsidRDefault="0071171D" w:rsidP="0071171D">
      <w:pPr>
        <w:tabs>
          <w:tab w:val="left" w:pos="2552"/>
        </w:tabs>
        <w:spacing w:after="200" w:line="287" w:lineRule="atLeast"/>
        <w:rPr>
          <w:rFonts w:eastAsiaTheme="minorHAnsi" w:cstheme="minorBidi"/>
          <w:sz w:val="18"/>
          <w:szCs w:val="18"/>
          <w:lang w:eastAsia="en-US"/>
        </w:rPr>
      </w:pPr>
      <w:r w:rsidRPr="0071171D">
        <w:rPr>
          <w:rFonts w:eastAsiaTheme="minorHAnsi" w:cs="Segoe UI Light"/>
          <w:b/>
          <w:sz w:val="18"/>
          <w:szCs w:val="18"/>
          <w:lang w:eastAsia="en-US"/>
        </w:rPr>
        <w:t>Europäischer Tag der jüdischen Kultur</w:t>
      </w:r>
      <w:r w:rsidRPr="0071171D">
        <w:rPr>
          <w:rFonts w:eastAsiaTheme="minorHAnsi" w:cs="Segoe UI Light"/>
          <w:sz w:val="18"/>
          <w:szCs w:val="18"/>
          <w:lang w:eastAsia="en-US"/>
        </w:rPr>
        <w:t xml:space="preserve"> (ETjK) am 05.09.2021</w:t>
      </w:r>
      <w:r w:rsidRPr="0071171D">
        <w:rPr>
          <w:rFonts w:eastAsiaTheme="minorHAnsi" w:cs="Segoe UI Light"/>
          <w:b/>
          <w:sz w:val="18"/>
          <w:szCs w:val="18"/>
          <w:lang w:eastAsia="en-US"/>
        </w:rPr>
        <w:br/>
      </w:r>
      <w:r w:rsidRPr="0071171D">
        <w:rPr>
          <w:rFonts w:eastAsiaTheme="minorHAnsi" w:cstheme="minorBidi"/>
          <w:sz w:val="18"/>
          <w:szCs w:val="18"/>
          <w:lang w:eastAsia="en-US"/>
        </w:rPr>
        <w:t>Entwicklung eines Programmhefts (Print und barrierefreie PDF) für alle am ETjK 2021 teilnehmenden Institutionen aus dem Rheinland und Westfalen.</w:t>
      </w:r>
    </w:p>
    <w:sectPr w:rsidR="00297311" w:rsidRPr="0071171D" w:rsidSect="00711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11" w:rsidRDefault="00297311">
      <w:r>
        <w:separator/>
      </w:r>
    </w:p>
  </w:endnote>
  <w:endnote w:type="continuationSeparator" w:id="0">
    <w:p w:rsidR="00297311" w:rsidRDefault="0029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1D" w:rsidRDefault="007117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1D" w:rsidRDefault="007117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11" w:rsidRDefault="00297311" w:rsidP="00297311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11" w:rsidRDefault="00297311">
      <w:r>
        <w:separator/>
      </w:r>
    </w:p>
  </w:footnote>
  <w:footnote w:type="continuationSeparator" w:id="0">
    <w:p w:rsidR="00297311" w:rsidRDefault="0029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1D" w:rsidRDefault="007117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6"/>
    </w:tblGrid>
    <w:tr w:rsidR="00403D32" w:rsidRPr="004E0A10">
      <w:trPr>
        <w:trHeight w:val="794"/>
      </w:trPr>
      <w:tc>
        <w:tcPr>
          <w:tcW w:w="8506" w:type="dxa"/>
          <w:vAlign w:val="bottom"/>
        </w:tcPr>
        <w:p w:rsidR="00403D32" w:rsidRPr="004E0A10" w:rsidRDefault="00403D32" w:rsidP="00C02644">
          <w:pPr>
            <w:spacing w:line="227" w:lineRule="exact"/>
            <w:rPr>
              <w:szCs w:val="18"/>
            </w:rPr>
          </w:pPr>
        </w:p>
      </w:tc>
    </w:tr>
    <w:tr w:rsidR="00403D32">
      <w:trPr>
        <w:trHeight w:hRule="exact" w:val="907"/>
      </w:trPr>
      <w:tc>
        <w:tcPr>
          <w:tcW w:w="8506" w:type="dxa"/>
          <w:vAlign w:val="bottom"/>
        </w:tcPr>
        <w:p w:rsidR="00403D32" w:rsidRPr="009231B3" w:rsidRDefault="00403D32" w:rsidP="00C13E60">
          <w:pPr>
            <w:spacing w:line="240" w:lineRule="exact"/>
            <w:jc w:val="right"/>
            <w:rPr>
              <w:sz w:val="17"/>
              <w:szCs w:val="17"/>
            </w:rPr>
          </w:pPr>
          <w:r>
            <w:rPr>
              <w:snapToGrid w:val="0"/>
              <w:sz w:val="17"/>
              <w:szCs w:val="17"/>
            </w:rPr>
            <w:t xml:space="preserve">Seite </w:t>
          </w:r>
          <w:r>
            <w:rPr>
              <w:rStyle w:val="Seitenzahl"/>
              <w:b w:val="0"/>
            </w:rPr>
            <w:fldChar w:fldCharType="begin"/>
          </w:r>
          <w:r>
            <w:rPr>
              <w:rStyle w:val="Seitenzahl"/>
              <w:b w:val="0"/>
            </w:rPr>
            <w:instrText xml:space="preserve"> PAGE </w:instrText>
          </w:r>
          <w:r>
            <w:rPr>
              <w:rStyle w:val="Seitenzahl"/>
              <w:b w:val="0"/>
            </w:rPr>
            <w:fldChar w:fldCharType="separate"/>
          </w:r>
          <w:r w:rsidR="0089238F">
            <w:rPr>
              <w:rStyle w:val="Seitenzahl"/>
              <w:b w:val="0"/>
              <w:noProof/>
            </w:rPr>
            <w:t>2</w:t>
          </w:r>
          <w:r>
            <w:rPr>
              <w:rStyle w:val="Seitenzahl"/>
              <w:b w:val="0"/>
            </w:rPr>
            <w:fldChar w:fldCharType="end"/>
          </w:r>
        </w:p>
      </w:tc>
    </w:tr>
  </w:tbl>
  <w:p w:rsidR="00403D32" w:rsidRPr="00186BDE" w:rsidRDefault="00403D32" w:rsidP="00186BDE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85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"/>
      <w:gridCol w:w="5794"/>
      <w:gridCol w:w="425"/>
      <w:gridCol w:w="2446"/>
    </w:tblGrid>
    <w:tr w:rsidR="000F18B2" w:rsidRPr="004E0A10">
      <w:trPr>
        <w:trHeight w:hRule="exact" w:val="1276"/>
      </w:trPr>
      <w:tc>
        <w:tcPr>
          <w:tcW w:w="20" w:type="dxa"/>
          <w:vAlign w:val="bottom"/>
        </w:tcPr>
        <w:p w:rsidR="000F18B2" w:rsidRPr="001B5D28" w:rsidRDefault="000F18B2" w:rsidP="000F18B2">
          <w:pPr>
            <w:pStyle w:val="LVRC-BausteinA"/>
          </w:pPr>
        </w:p>
      </w:tc>
      <w:tc>
        <w:tcPr>
          <w:tcW w:w="5794" w:type="dxa"/>
          <w:vAlign w:val="bottom"/>
        </w:tcPr>
        <w:p w:rsidR="000F18B2" w:rsidRPr="001B5D28" w:rsidRDefault="000F18B2" w:rsidP="000F18B2">
          <w:pPr>
            <w:pStyle w:val="LVRC-BausteinA"/>
          </w:pPr>
          <w:bookmarkStart w:id="1" w:name="K3_A"/>
          <w:bookmarkEnd w:id="1"/>
        </w:p>
      </w:tc>
      <w:tc>
        <w:tcPr>
          <w:tcW w:w="425" w:type="dxa"/>
          <w:vAlign w:val="bottom"/>
        </w:tcPr>
        <w:p w:rsidR="000F18B2" w:rsidRPr="004E0A10" w:rsidRDefault="000F18B2" w:rsidP="000F18B2">
          <w:pPr>
            <w:pStyle w:val="LVRC-BausteinA"/>
            <w:rPr>
              <w:szCs w:val="18"/>
            </w:rPr>
          </w:pPr>
        </w:p>
      </w:tc>
      <w:tc>
        <w:tcPr>
          <w:tcW w:w="2446" w:type="dxa"/>
          <w:shd w:val="clear" w:color="auto" w:fill="auto"/>
          <w:vAlign w:val="bottom"/>
        </w:tcPr>
        <w:p w:rsidR="000F18B2" w:rsidRPr="004E0A10" w:rsidRDefault="000F18B2" w:rsidP="000F18B2">
          <w:pPr>
            <w:spacing w:line="227" w:lineRule="exact"/>
            <w:rPr>
              <w:szCs w:val="18"/>
            </w:rPr>
          </w:pPr>
        </w:p>
      </w:tc>
    </w:tr>
    <w:tr w:rsidR="00403D32" w:rsidRPr="004E0A10">
      <w:trPr>
        <w:trHeight w:hRule="exact" w:val="227"/>
      </w:trPr>
      <w:tc>
        <w:tcPr>
          <w:tcW w:w="5814" w:type="dxa"/>
          <w:gridSpan w:val="2"/>
          <w:vAlign w:val="bottom"/>
        </w:tcPr>
        <w:p w:rsidR="00403D32" w:rsidRDefault="00403D32" w:rsidP="004E0A10">
          <w:pPr>
            <w:spacing w:line="240" w:lineRule="exact"/>
          </w:pPr>
        </w:p>
      </w:tc>
      <w:tc>
        <w:tcPr>
          <w:tcW w:w="425" w:type="dxa"/>
        </w:tcPr>
        <w:p w:rsidR="00403D32" w:rsidRDefault="00403D32" w:rsidP="004E0A10">
          <w:pPr>
            <w:spacing w:line="240" w:lineRule="exact"/>
          </w:pPr>
        </w:p>
      </w:tc>
      <w:tc>
        <w:tcPr>
          <w:tcW w:w="2446" w:type="dxa"/>
          <w:shd w:val="clear" w:color="auto" w:fill="auto"/>
        </w:tcPr>
        <w:p w:rsidR="00403D32" w:rsidRPr="004E0A10" w:rsidRDefault="00403D32" w:rsidP="004E0A10">
          <w:pPr>
            <w:spacing w:line="240" w:lineRule="exact"/>
            <w:rPr>
              <w:b/>
              <w:w w:val="90"/>
            </w:rPr>
          </w:pPr>
        </w:p>
      </w:tc>
    </w:tr>
  </w:tbl>
  <w:p w:rsidR="00403D32" w:rsidRPr="002108F1" w:rsidRDefault="00297311" w:rsidP="002108F1">
    <w:pPr>
      <w:pStyle w:val="Kopfzeile"/>
      <w:pBdr>
        <w:bottom w:val="none" w:sz="0" w:space="0" w:color="auto"/>
      </w:pBdr>
      <w:spacing w:before="0" w:after="0" w:line="120" w:lineRule="exact"/>
      <w:rPr>
        <w:rFonts w:ascii="Verdana" w:hAnsi="Verdana"/>
        <w:b w:val="0"/>
        <w:sz w:val="10"/>
        <w:szCs w:val="10"/>
      </w:rPr>
    </w:pPr>
    <w:bookmarkStart w:id="2" w:name="K3_B"/>
    <w:bookmarkStart w:id="3" w:name="K1"/>
    <w:bookmarkStart w:id="4" w:name="AnkerLogo"/>
    <w:bookmarkEnd w:id="2"/>
    <w:bookmarkEnd w:id="3"/>
    <w:bookmarkEnd w:id="4"/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-76200</wp:posOffset>
          </wp:positionH>
          <wp:positionV relativeFrom="page">
            <wp:posOffset>0</wp:posOffset>
          </wp:positionV>
          <wp:extent cx="4429125" cy="990600"/>
          <wp:effectExtent l="0" t="0" r="9525" b="0"/>
          <wp:wrapNone/>
          <wp:docPr id="53" name="Bild 53" descr="\\NAS-ZV\Software_ZV\LVROffice\P\Bausteine2009\CD2009_Logos\F-LogoDez9MIQ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\\NAS-ZV\Software_ZV\LVROffice\P\Bausteine2009\CD2009_Logos\F-LogoDez9MIQU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5178425</wp:posOffset>
          </wp:positionH>
          <wp:positionV relativeFrom="page">
            <wp:posOffset>546100</wp:posOffset>
          </wp:positionV>
          <wp:extent cx="1438275" cy="581025"/>
          <wp:effectExtent l="0" t="0" r="9525" b="9525"/>
          <wp:wrapNone/>
          <wp:docPr id="52" name="Bild 52" descr="Logo des Landschaftsverbandes Rheinland mit dem Text 'Qualität für Menschen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ogo des Landschaftsverbandes Rheinland mit dem Text 'Qualität für Menschen'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 w:val="0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A7C99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t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E6E6C99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C3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E6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07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65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25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86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6D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BAE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11"/>
    <w:rsid w:val="0001079D"/>
    <w:rsid w:val="000119CA"/>
    <w:rsid w:val="00015137"/>
    <w:rsid w:val="000471A5"/>
    <w:rsid w:val="000509BC"/>
    <w:rsid w:val="000509FD"/>
    <w:rsid w:val="00050EB4"/>
    <w:rsid w:val="00054355"/>
    <w:rsid w:val="000A406D"/>
    <w:rsid w:val="000A7A35"/>
    <w:rsid w:val="000F18B2"/>
    <w:rsid w:val="000F2D86"/>
    <w:rsid w:val="00121BD1"/>
    <w:rsid w:val="001535CF"/>
    <w:rsid w:val="00170FEF"/>
    <w:rsid w:val="00186BDE"/>
    <w:rsid w:val="0019484E"/>
    <w:rsid w:val="001B5D28"/>
    <w:rsid w:val="001D5B4F"/>
    <w:rsid w:val="001E73DD"/>
    <w:rsid w:val="002108F1"/>
    <w:rsid w:val="00215120"/>
    <w:rsid w:val="00221BB0"/>
    <w:rsid w:val="00223EB3"/>
    <w:rsid w:val="00227EF5"/>
    <w:rsid w:val="002332F0"/>
    <w:rsid w:val="002335EA"/>
    <w:rsid w:val="00236288"/>
    <w:rsid w:val="002775B0"/>
    <w:rsid w:val="00297311"/>
    <w:rsid w:val="002A778B"/>
    <w:rsid w:val="002F0280"/>
    <w:rsid w:val="002F055D"/>
    <w:rsid w:val="003078C4"/>
    <w:rsid w:val="0033326C"/>
    <w:rsid w:val="00347A58"/>
    <w:rsid w:val="00350193"/>
    <w:rsid w:val="003522E1"/>
    <w:rsid w:val="003561DF"/>
    <w:rsid w:val="00362027"/>
    <w:rsid w:val="00373EB3"/>
    <w:rsid w:val="00377730"/>
    <w:rsid w:val="00383B14"/>
    <w:rsid w:val="0038650E"/>
    <w:rsid w:val="003A23F4"/>
    <w:rsid w:val="003A60CA"/>
    <w:rsid w:val="003B1E69"/>
    <w:rsid w:val="003B551A"/>
    <w:rsid w:val="003F167B"/>
    <w:rsid w:val="003F30C5"/>
    <w:rsid w:val="00403D32"/>
    <w:rsid w:val="00427441"/>
    <w:rsid w:val="004446A6"/>
    <w:rsid w:val="00454AF1"/>
    <w:rsid w:val="00455E73"/>
    <w:rsid w:val="0045795D"/>
    <w:rsid w:val="00487C3C"/>
    <w:rsid w:val="004B5E5B"/>
    <w:rsid w:val="004E0A10"/>
    <w:rsid w:val="004E2FE4"/>
    <w:rsid w:val="004E378B"/>
    <w:rsid w:val="00515FF0"/>
    <w:rsid w:val="005438D5"/>
    <w:rsid w:val="00547164"/>
    <w:rsid w:val="00551ADD"/>
    <w:rsid w:val="00560291"/>
    <w:rsid w:val="00562A41"/>
    <w:rsid w:val="00584CF0"/>
    <w:rsid w:val="00590A6F"/>
    <w:rsid w:val="005C54D2"/>
    <w:rsid w:val="005D7153"/>
    <w:rsid w:val="005E4958"/>
    <w:rsid w:val="005F2BEB"/>
    <w:rsid w:val="005F2FCD"/>
    <w:rsid w:val="006013E1"/>
    <w:rsid w:val="00606899"/>
    <w:rsid w:val="006073EC"/>
    <w:rsid w:val="006231D9"/>
    <w:rsid w:val="00624053"/>
    <w:rsid w:val="006318D9"/>
    <w:rsid w:val="00661F6D"/>
    <w:rsid w:val="0067468D"/>
    <w:rsid w:val="00690DCE"/>
    <w:rsid w:val="0069367F"/>
    <w:rsid w:val="00694935"/>
    <w:rsid w:val="006A2063"/>
    <w:rsid w:val="006A4653"/>
    <w:rsid w:val="006E262A"/>
    <w:rsid w:val="006E7F83"/>
    <w:rsid w:val="007069DF"/>
    <w:rsid w:val="0071171D"/>
    <w:rsid w:val="007178B9"/>
    <w:rsid w:val="00730814"/>
    <w:rsid w:val="0078342F"/>
    <w:rsid w:val="007C027D"/>
    <w:rsid w:val="007D21C7"/>
    <w:rsid w:val="007F747A"/>
    <w:rsid w:val="00802A10"/>
    <w:rsid w:val="00805E75"/>
    <w:rsid w:val="00821469"/>
    <w:rsid w:val="0082162C"/>
    <w:rsid w:val="00824B20"/>
    <w:rsid w:val="008834CA"/>
    <w:rsid w:val="00890305"/>
    <w:rsid w:val="0089238F"/>
    <w:rsid w:val="008926AD"/>
    <w:rsid w:val="008959D9"/>
    <w:rsid w:val="008A5ADD"/>
    <w:rsid w:val="008B12B9"/>
    <w:rsid w:val="008D0CD9"/>
    <w:rsid w:val="008E1951"/>
    <w:rsid w:val="008E26FF"/>
    <w:rsid w:val="008E376E"/>
    <w:rsid w:val="008E7994"/>
    <w:rsid w:val="008F143B"/>
    <w:rsid w:val="009231B3"/>
    <w:rsid w:val="00940F59"/>
    <w:rsid w:val="009870BC"/>
    <w:rsid w:val="00995DC4"/>
    <w:rsid w:val="0099720F"/>
    <w:rsid w:val="009A3E2F"/>
    <w:rsid w:val="009B3524"/>
    <w:rsid w:val="009E1DD2"/>
    <w:rsid w:val="009E6BFC"/>
    <w:rsid w:val="009F04C0"/>
    <w:rsid w:val="009F2AD9"/>
    <w:rsid w:val="00A01657"/>
    <w:rsid w:val="00A528FE"/>
    <w:rsid w:val="00A6771B"/>
    <w:rsid w:val="00A958FD"/>
    <w:rsid w:val="00A96E07"/>
    <w:rsid w:val="00A97FA3"/>
    <w:rsid w:val="00AA06D0"/>
    <w:rsid w:val="00AA22B2"/>
    <w:rsid w:val="00AB7140"/>
    <w:rsid w:val="00AC081C"/>
    <w:rsid w:val="00AC261E"/>
    <w:rsid w:val="00AD5345"/>
    <w:rsid w:val="00AD735A"/>
    <w:rsid w:val="00AE3E3E"/>
    <w:rsid w:val="00B31211"/>
    <w:rsid w:val="00B335DD"/>
    <w:rsid w:val="00B35006"/>
    <w:rsid w:val="00B423FD"/>
    <w:rsid w:val="00B8457D"/>
    <w:rsid w:val="00BC462D"/>
    <w:rsid w:val="00BD3DA4"/>
    <w:rsid w:val="00BD65D8"/>
    <w:rsid w:val="00C02644"/>
    <w:rsid w:val="00C07926"/>
    <w:rsid w:val="00C13E60"/>
    <w:rsid w:val="00C37A16"/>
    <w:rsid w:val="00C4613C"/>
    <w:rsid w:val="00C541B3"/>
    <w:rsid w:val="00C57556"/>
    <w:rsid w:val="00C741AD"/>
    <w:rsid w:val="00C87D90"/>
    <w:rsid w:val="00CB42BF"/>
    <w:rsid w:val="00CC1377"/>
    <w:rsid w:val="00CC16E6"/>
    <w:rsid w:val="00CC3B02"/>
    <w:rsid w:val="00CC62C7"/>
    <w:rsid w:val="00CD2A8F"/>
    <w:rsid w:val="00CE11E1"/>
    <w:rsid w:val="00CF0AE5"/>
    <w:rsid w:val="00CF2459"/>
    <w:rsid w:val="00D01D41"/>
    <w:rsid w:val="00D05D6D"/>
    <w:rsid w:val="00D074A6"/>
    <w:rsid w:val="00D433B8"/>
    <w:rsid w:val="00D51A96"/>
    <w:rsid w:val="00DA2F6C"/>
    <w:rsid w:val="00DB41E7"/>
    <w:rsid w:val="00DC36F3"/>
    <w:rsid w:val="00DC4ADB"/>
    <w:rsid w:val="00DF3DB2"/>
    <w:rsid w:val="00E06788"/>
    <w:rsid w:val="00E37D4B"/>
    <w:rsid w:val="00E37EA9"/>
    <w:rsid w:val="00E4232B"/>
    <w:rsid w:val="00E44EA2"/>
    <w:rsid w:val="00E52026"/>
    <w:rsid w:val="00E6156F"/>
    <w:rsid w:val="00E93311"/>
    <w:rsid w:val="00EB218C"/>
    <w:rsid w:val="00EC39B6"/>
    <w:rsid w:val="00EE7038"/>
    <w:rsid w:val="00F07770"/>
    <w:rsid w:val="00F11195"/>
    <w:rsid w:val="00F14637"/>
    <w:rsid w:val="00F217F7"/>
    <w:rsid w:val="00F26456"/>
    <w:rsid w:val="00F265D4"/>
    <w:rsid w:val="00F3406D"/>
    <w:rsid w:val="00F41577"/>
    <w:rsid w:val="00F423DF"/>
    <w:rsid w:val="00F51DF9"/>
    <w:rsid w:val="00F711F0"/>
    <w:rsid w:val="00F82857"/>
    <w:rsid w:val="00F85179"/>
    <w:rsid w:val="00F96984"/>
    <w:rsid w:val="00FB3D72"/>
    <w:rsid w:val="00FB55BB"/>
    <w:rsid w:val="00FC12DB"/>
    <w:rsid w:val="00FC6CD2"/>
    <w:rsid w:val="00FF51DD"/>
    <w:rsid w:val="00FF6527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8AC8AC"/>
  <w15:chartTrackingRefBased/>
  <w15:docId w15:val="{D9072A49-2847-4381-A7B5-F5D7838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42F"/>
    <w:pPr>
      <w:spacing w:line="283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rFonts w:ascii="Arial" w:hAnsi="Arial"/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customStyle="1" w:styleId="Tabellengitternetz">
    <w:name w:val="Tabellengitternetz"/>
    <w:basedOn w:val="NormaleTabelle"/>
    <w:rsid w:val="0035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customStyle="1" w:styleId="LVRBetreff">
    <w:name w:val="LVR_Betreff"/>
    <w:rsid w:val="00E44EA2"/>
    <w:pPr>
      <w:spacing w:line="283" w:lineRule="atLeast"/>
    </w:pPr>
    <w:rPr>
      <w:rFonts w:ascii="Verdana" w:hAnsi="Verdana"/>
      <w:b/>
      <w:sz w:val="18"/>
      <w:szCs w:val="18"/>
      <w:lang w:val="en-US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LVRVerfgungspunkt">
    <w:name w:val="LVR_Verfügungspunkt"/>
    <w:basedOn w:val="Standard"/>
    <w:autoRedefine/>
    <w:rsid w:val="005D7153"/>
    <w:pPr>
      <w:ind w:hanging="709"/>
    </w:pPr>
    <w:rPr>
      <w:sz w:val="18"/>
    </w:r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FC12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50193"/>
    <w:rPr>
      <w:color w:val="0000FF"/>
      <w:u w:val="single"/>
    </w:rPr>
  </w:style>
  <w:style w:type="paragraph" w:customStyle="1" w:styleId="LVRC-BausteinC">
    <w:name w:val="LVR_C-Baustein_C"/>
    <w:rsid w:val="00E44EA2"/>
    <w:pPr>
      <w:spacing w:line="227" w:lineRule="atLeast"/>
    </w:pPr>
    <w:rPr>
      <w:rFonts w:ascii="Verdana" w:hAnsi="Verdana"/>
      <w:sz w:val="15"/>
      <w:szCs w:val="15"/>
      <w:lang w:val="en-US"/>
    </w:rPr>
  </w:style>
  <w:style w:type="paragraph" w:customStyle="1" w:styleId="LVRC-BausteinA">
    <w:name w:val="LVR_C-Baustein_A"/>
    <w:rsid w:val="00606899"/>
    <w:pPr>
      <w:spacing w:line="227" w:lineRule="atLeast"/>
    </w:pPr>
    <w:rPr>
      <w:rFonts w:ascii="Verdana" w:hAnsi="Verdana"/>
      <w:spacing w:val="1"/>
      <w:w w:val="90"/>
      <w:sz w:val="17"/>
      <w:szCs w:val="17"/>
    </w:rPr>
  </w:style>
  <w:style w:type="paragraph" w:customStyle="1" w:styleId="LVRC-BausteinB">
    <w:name w:val="LVR_C-Baustein_B"/>
    <w:rsid w:val="00606899"/>
    <w:pPr>
      <w:spacing w:line="198" w:lineRule="atLeast"/>
    </w:pPr>
    <w:rPr>
      <w:rFonts w:ascii="Verdana" w:hAnsi="Verdana"/>
      <w:spacing w:val="1"/>
      <w:w w:val="90"/>
      <w:sz w:val="15"/>
      <w:szCs w:val="17"/>
    </w:rPr>
  </w:style>
  <w:style w:type="paragraph" w:customStyle="1" w:styleId="LVRA-Baustein">
    <w:name w:val="LVR_A-Baustein"/>
    <w:rsid w:val="00227EF5"/>
    <w:pPr>
      <w:spacing w:line="170" w:lineRule="atLeast"/>
    </w:pPr>
    <w:rPr>
      <w:rFonts w:ascii="Verdana" w:hAnsi="Verdana"/>
      <w:sz w:val="12"/>
      <w:szCs w:val="12"/>
    </w:rPr>
  </w:style>
  <w:style w:type="paragraph" w:customStyle="1" w:styleId="Kontaktdaten">
    <w:name w:val="Kontaktdaten"/>
    <w:rsid w:val="00227EF5"/>
    <w:pPr>
      <w:spacing w:line="227" w:lineRule="exact"/>
    </w:pPr>
    <w:rPr>
      <w:rFonts w:ascii="Verdana" w:hAnsi="Verdana"/>
      <w:sz w:val="15"/>
      <w:szCs w:val="15"/>
    </w:rPr>
  </w:style>
  <w:style w:type="paragraph" w:customStyle="1" w:styleId="LVRFussbaustein">
    <w:name w:val="LVR_Fussbaustein"/>
    <w:rsid w:val="00606899"/>
    <w:pPr>
      <w:tabs>
        <w:tab w:val="left" w:pos="6350"/>
      </w:tabs>
      <w:spacing w:line="170" w:lineRule="atLeast"/>
    </w:pPr>
    <w:rPr>
      <w:rFonts w:ascii="Verdana" w:hAnsi="Verdana"/>
      <w:sz w:val="12"/>
      <w:szCs w:val="12"/>
    </w:rPr>
  </w:style>
  <w:style w:type="paragraph" w:customStyle="1" w:styleId="Verfgungspunkt">
    <w:name w:val="Verfügungspunkt"/>
    <w:basedOn w:val="Standard"/>
    <w:autoRedefine/>
    <w:rsid w:val="00C37A16"/>
    <w:pPr>
      <w:spacing w:line="240" w:lineRule="auto"/>
      <w:ind w:hanging="709"/>
    </w:pPr>
  </w:style>
  <w:style w:type="paragraph" w:styleId="Fuzeile">
    <w:name w:val="footer"/>
    <w:basedOn w:val="Standard"/>
    <w:rsid w:val="00AA06D0"/>
    <w:pPr>
      <w:tabs>
        <w:tab w:val="center" w:pos="4536"/>
        <w:tab w:val="right" w:pos="9072"/>
      </w:tabs>
    </w:pPr>
  </w:style>
  <w:style w:type="paragraph" w:customStyle="1" w:styleId="FussDurchschriftAbsatz1">
    <w:name w:val="Fuss_Durchschrift_Absatz1"/>
    <w:basedOn w:val="Standard"/>
    <w:qFormat/>
    <w:rsid w:val="00FB3D72"/>
    <w:pPr>
      <w:pBdr>
        <w:top w:val="single" w:sz="4" w:space="2" w:color="FFFFFF"/>
        <w:left w:val="single" w:sz="4" w:space="1" w:color="FFFFFF"/>
        <w:bottom w:val="single" w:sz="4" w:space="2" w:color="FFFFFF"/>
        <w:right w:val="single" w:sz="4" w:space="1" w:color="FFFFFF"/>
        <w:between w:val="single" w:sz="4" w:space="2" w:color="auto"/>
      </w:pBdr>
      <w:spacing w:before="300" w:line="170" w:lineRule="exact"/>
      <w:ind w:left="57" w:right="1701"/>
      <w:jc w:val="center"/>
    </w:pPr>
    <w:rPr>
      <w:i/>
      <w:color w:val="FFFFFF"/>
      <w:sz w:val="14"/>
      <w:szCs w:val="14"/>
    </w:rPr>
  </w:style>
  <w:style w:type="paragraph" w:customStyle="1" w:styleId="LVRBausteinA">
    <w:name w:val="LVRBausteinA"/>
    <w:basedOn w:val="Standard"/>
    <w:semiHidden/>
    <w:rsid w:val="00297311"/>
    <w:pPr>
      <w:spacing w:line="240" w:lineRule="auto"/>
    </w:pPr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agoge-roedingen.lv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qua.blo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\\NAS-ZV\Software_ZV\LVROffice\P\Bausteine2009\CD2009_Logos\F-LogoDez9MIQUA.jpg" TargetMode="External"/><Relationship Id="rId1" Type="http://schemas.openxmlformats.org/officeDocument/2006/relationships/image" Target="media/image1.jpeg"/><Relationship Id="rId4" Type="http://schemas.openxmlformats.org/officeDocument/2006/relationships/image" Target="file:///\\NAS-ZV\Software_ZV\LVROffice\P\Bausteine2009\CD2009_Logos\F_mC_LVR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VROffice\LVR_Briefkopf_CD2009_V1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LVR_Briefkopf_CD2009_V100.dot</Template>
  <TotalTime>0</TotalTime>
  <Pages>2</Pages>
  <Words>525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Landschaftsverband Rheinland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Jakobs, Michael</dc:creator>
  <cp:keywords>LVR_Briefkopf_CD2009_V100.dot</cp:keywords>
  <dc:description/>
  <cp:lastModifiedBy>Jakobs, Michael</cp:lastModifiedBy>
  <cp:revision>3</cp:revision>
  <cp:lastPrinted>2009-07-31T08:25:00Z</cp:lastPrinted>
  <dcterms:created xsi:type="dcterms:W3CDTF">2021-12-02T13:51:00Z</dcterms:created>
  <dcterms:modified xsi:type="dcterms:W3CDTF">2021-12-02T16:40:00Z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