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0E" w:rsidRPr="003B79FC" w:rsidRDefault="00F4250E">
      <w:pPr>
        <w:pStyle w:val="Textkrper"/>
        <w:spacing w:line="360" w:lineRule="auto"/>
        <w:rPr>
          <w:sz w:val="22"/>
          <w:szCs w:val="22"/>
        </w:rPr>
      </w:pPr>
      <w:bookmarkStart w:id="0" w:name="_GoBack"/>
      <w:bookmarkEnd w:id="0"/>
      <w:r w:rsidRPr="003B79FC">
        <w:rPr>
          <w:sz w:val="22"/>
          <w:szCs w:val="22"/>
        </w:rPr>
        <w:t>Vorgaben zur Gestaltung der Kooperation gemäß Nr. 4.</w:t>
      </w:r>
      <w:r w:rsidR="00A7226A" w:rsidRPr="003B79FC">
        <w:rPr>
          <w:sz w:val="22"/>
          <w:szCs w:val="22"/>
        </w:rPr>
        <w:t>2</w:t>
      </w:r>
      <w:r w:rsidRPr="003B79FC">
        <w:rPr>
          <w:sz w:val="22"/>
          <w:szCs w:val="22"/>
        </w:rPr>
        <w:t xml:space="preserve"> Absatz </w:t>
      </w:r>
      <w:r w:rsidR="00A7226A" w:rsidRPr="003B79FC">
        <w:rPr>
          <w:sz w:val="22"/>
          <w:szCs w:val="22"/>
        </w:rPr>
        <w:t>1</w:t>
      </w:r>
      <w:r w:rsidRPr="003B79FC">
        <w:rPr>
          <w:sz w:val="22"/>
          <w:szCs w:val="22"/>
        </w:rPr>
        <w:t xml:space="preserve"> der Richtlinien</w:t>
      </w:r>
    </w:p>
    <w:p w:rsidR="00F4250E" w:rsidRPr="003B79FC" w:rsidRDefault="00F4250E">
      <w:pPr>
        <w:pStyle w:val="Textkrper"/>
        <w:spacing w:line="360" w:lineRule="auto"/>
        <w:rPr>
          <w:sz w:val="22"/>
          <w:szCs w:val="22"/>
        </w:rPr>
      </w:pPr>
    </w:p>
    <w:p w:rsidR="00F4250E" w:rsidRPr="003B79FC" w:rsidRDefault="00F4250E">
      <w:pPr>
        <w:pStyle w:val="Textkrper"/>
        <w:spacing w:line="360" w:lineRule="auto"/>
        <w:rPr>
          <w:b w:val="0"/>
          <w:bCs w:val="0"/>
          <w:sz w:val="22"/>
          <w:szCs w:val="22"/>
          <w:u w:val="none"/>
        </w:rPr>
      </w:pPr>
      <w:r w:rsidRPr="003B79FC">
        <w:rPr>
          <w:b w:val="0"/>
          <w:bCs w:val="0"/>
          <w:sz w:val="22"/>
          <w:szCs w:val="22"/>
          <w:u w:val="none"/>
        </w:rPr>
        <w:t>Die Einrichtung gegen sexualisierte Gewalt, die nicht in einer vom Land geförderten allgemeinen Frauenberatungsstelle integriert ist, und eine in derselben Stadt bzw. demselben Kreis bestehende landesgeförderte allgemeine Frauenberatungsstelle regeln ihre Zusammenarbeit in einer schriftlichen Kooperationsvereinbarung obligatorisch zu folgenden Punkten:</w:t>
      </w:r>
    </w:p>
    <w:p w:rsidR="00F4250E" w:rsidRPr="003B79FC" w:rsidRDefault="00F4250E">
      <w:pPr>
        <w:pStyle w:val="Textkrper"/>
        <w:spacing w:line="360" w:lineRule="auto"/>
        <w:rPr>
          <w:b w:val="0"/>
          <w:bCs w:val="0"/>
          <w:sz w:val="22"/>
          <w:szCs w:val="22"/>
          <w:u w:val="none"/>
        </w:rPr>
      </w:pP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Gemeinsame Fachgespräche</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gemeinsame Öffentlichkeitsarbeit</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Absprachen/Vertretungsregelungen bezüglich der Teilnahme an Gremiensitzungen</w:t>
      </w:r>
    </w:p>
    <w:p w:rsidR="00F4250E" w:rsidRPr="003B79FC" w:rsidRDefault="00F4250E">
      <w:pPr>
        <w:pStyle w:val="Textkrper"/>
        <w:spacing w:line="360" w:lineRule="auto"/>
        <w:rPr>
          <w:b w:val="0"/>
          <w:bCs w:val="0"/>
          <w:sz w:val="22"/>
          <w:szCs w:val="22"/>
          <w:u w:val="none"/>
        </w:rPr>
      </w:pPr>
    </w:p>
    <w:p w:rsidR="00F4250E" w:rsidRPr="003B79FC" w:rsidRDefault="00F4250E">
      <w:pPr>
        <w:pStyle w:val="Textkrper"/>
        <w:spacing w:line="360" w:lineRule="auto"/>
        <w:rPr>
          <w:b w:val="0"/>
          <w:bCs w:val="0"/>
          <w:i/>
          <w:iCs/>
          <w:sz w:val="22"/>
          <w:szCs w:val="22"/>
          <w:u w:val="none"/>
        </w:rPr>
      </w:pPr>
      <w:r w:rsidRPr="003B79FC">
        <w:rPr>
          <w:b w:val="0"/>
          <w:bCs w:val="0"/>
          <w:sz w:val="22"/>
          <w:szCs w:val="22"/>
          <w:u w:val="none"/>
        </w:rPr>
        <w:t>Zur weiteren Optimierung der Beratungsangebote und Nutzung von Synergieeffekten sind von der Einrichtung gegen sexualisierte Gewalt darüber hinaus Regelungen zu den nachfolgenden Punkten sicherzustellen:</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Gemeinsame Fortbildungen</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Gemeinsamer Informationspool</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Gemeinsame Urlaubs- und Krankheitsvertretung</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Rufumleitung zur Verbesserung der telefonischen Erreichbarkeit</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Beratungszeiten und –angebote in der jeweils anderen Einrichtung</w:t>
      </w:r>
    </w:p>
    <w:p w:rsidR="00F4250E" w:rsidRPr="003B79FC" w:rsidRDefault="00F4250E">
      <w:pPr>
        <w:pStyle w:val="Textkrper"/>
        <w:numPr>
          <w:ilvl w:val="0"/>
          <w:numId w:val="1"/>
        </w:numPr>
        <w:spacing w:line="360" w:lineRule="auto"/>
        <w:rPr>
          <w:b w:val="0"/>
          <w:bCs w:val="0"/>
          <w:sz w:val="22"/>
          <w:szCs w:val="22"/>
          <w:u w:val="none"/>
        </w:rPr>
      </w:pPr>
      <w:r w:rsidRPr="003B79FC">
        <w:rPr>
          <w:b w:val="0"/>
          <w:bCs w:val="0"/>
          <w:sz w:val="22"/>
          <w:szCs w:val="22"/>
          <w:u w:val="none"/>
        </w:rPr>
        <w:t>Kollegiale Supervision</w:t>
      </w:r>
    </w:p>
    <w:p w:rsidR="00F4250E" w:rsidRPr="003B79FC" w:rsidRDefault="00F4250E">
      <w:pPr>
        <w:pStyle w:val="Textkrper"/>
        <w:spacing w:line="360" w:lineRule="auto"/>
        <w:rPr>
          <w:b w:val="0"/>
          <w:bCs w:val="0"/>
          <w:sz w:val="22"/>
          <w:szCs w:val="22"/>
          <w:u w:val="none"/>
        </w:rPr>
      </w:pPr>
      <w:r w:rsidRPr="003B79FC">
        <w:rPr>
          <w:b w:val="0"/>
          <w:bCs w:val="0"/>
          <w:sz w:val="22"/>
          <w:szCs w:val="22"/>
          <w:u w:val="none"/>
        </w:rPr>
        <w:t>Die Regelung dieser Punke erfolgt alternativ durch</w:t>
      </w:r>
    </w:p>
    <w:p w:rsidR="00F4250E" w:rsidRPr="003B79FC" w:rsidRDefault="00F4250E">
      <w:pPr>
        <w:pStyle w:val="Textkrper"/>
        <w:numPr>
          <w:ilvl w:val="0"/>
          <w:numId w:val="2"/>
        </w:numPr>
        <w:spacing w:line="360" w:lineRule="auto"/>
        <w:rPr>
          <w:b w:val="0"/>
          <w:bCs w:val="0"/>
          <w:sz w:val="22"/>
          <w:szCs w:val="22"/>
          <w:u w:val="none"/>
        </w:rPr>
      </w:pPr>
      <w:r w:rsidRPr="003B79FC">
        <w:rPr>
          <w:b w:val="0"/>
          <w:bCs w:val="0"/>
          <w:sz w:val="22"/>
          <w:szCs w:val="22"/>
          <w:u w:val="none"/>
        </w:rPr>
        <w:t>Aufnahme in die Kooperationsvereinbarung</w:t>
      </w:r>
    </w:p>
    <w:p w:rsidR="00F4250E" w:rsidRPr="003B79FC" w:rsidRDefault="00F4250E">
      <w:pPr>
        <w:pStyle w:val="Textkrper"/>
        <w:numPr>
          <w:ilvl w:val="0"/>
          <w:numId w:val="2"/>
        </w:numPr>
        <w:spacing w:line="360" w:lineRule="auto"/>
        <w:rPr>
          <w:b w:val="0"/>
          <w:bCs w:val="0"/>
          <w:sz w:val="22"/>
          <w:szCs w:val="22"/>
          <w:u w:val="none"/>
        </w:rPr>
      </w:pPr>
      <w:r w:rsidRPr="003B79FC">
        <w:rPr>
          <w:b w:val="0"/>
          <w:bCs w:val="0"/>
          <w:sz w:val="22"/>
          <w:szCs w:val="22"/>
          <w:u w:val="none"/>
        </w:rPr>
        <w:t>einrichtungsinterne Vereinbarungen</w:t>
      </w:r>
    </w:p>
    <w:p w:rsidR="00F4250E" w:rsidRPr="003B79FC" w:rsidRDefault="00F4250E">
      <w:pPr>
        <w:pStyle w:val="Textkrper"/>
        <w:numPr>
          <w:ilvl w:val="0"/>
          <w:numId w:val="2"/>
        </w:numPr>
        <w:spacing w:line="360" w:lineRule="auto"/>
        <w:rPr>
          <w:b w:val="0"/>
          <w:bCs w:val="0"/>
          <w:sz w:val="22"/>
          <w:szCs w:val="22"/>
          <w:u w:val="none"/>
        </w:rPr>
      </w:pPr>
      <w:r w:rsidRPr="003B79FC">
        <w:rPr>
          <w:b w:val="0"/>
          <w:bCs w:val="0"/>
          <w:sz w:val="22"/>
          <w:szCs w:val="22"/>
          <w:u w:val="none"/>
        </w:rPr>
        <w:t>bestehende Vereinbarungen/Absprachen mit anderen Frauenhilfeeinrichtungen.</w:t>
      </w:r>
    </w:p>
    <w:p w:rsidR="00F4250E" w:rsidRPr="003B79FC" w:rsidRDefault="00F4250E">
      <w:pPr>
        <w:pStyle w:val="Textkrper"/>
        <w:spacing w:line="360" w:lineRule="auto"/>
        <w:rPr>
          <w:b w:val="0"/>
          <w:bCs w:val="0"/>
          <w:sz w:val="22"/>
          <w:szCs w:val="22"/>
          <w:u w:val="none"/>
        </w:rPr>
      </w:pPr>
    </w:p>
    <w:p w:rsidR="00F4250E" w:rsidRPr="003B79FC" w:rsidRDefault="00F4250E">
      <w:pPr>
        <w:pStyle w:val="Textkrper"/>
        <w:spacing w:line="360" w:lineRule="auto"/>
        <w:rPr>
          <w:b w:val="0"/>
          <w:bCs w:val="0"/>
          <w:sz w:val="22"/>
          <w:szCs w:val="22"/>
          <w:u w:val="none"/>
        </w:rPr>
      </w:pPr>
      <w:r w:rsidRPr="003B79FC">
        <w:rPr>
          <w:b w:val="0"/>
          <w:bCs w:val="0"/>
          <w:sz w:val="22"/>
          <w:szCs w:val="22"/>
          <w:u w:val="none"/>
        </w:rPr>
        <w:t xml:space="preserve">Dem </w:t>
      </w:r>
      <w:r w:rsidR="007774FB">
        <w:rPr>
          <w:b w:val="0"/>
          <w:bCs w:val="0"/>
          <w:sz w:val="22"/>
          <w:szCs w:val="22"/>
          <w:u w:val="none"/>
        </w:rPr>
        <w:t xml:space="preserve">für Frauenfragen zuständigen </w:t>
      </w:r>
      <w:r w:rsidRPr="003B79FC">
        <w:rPr>
          <w:b w:val="0"/>
          <w:bCs w:val="0"/>
          <w:sz w:val="22"/>
          <w:szCs w:val="22"/>
          <w:u w:val="none"/>
        </w:rPr>
        <w:t>Ministerium sind von der nicht integrierten Einrichtung gegen sexualisierte Gewalt die Kooperationsvereinbarung, etwaige Änderungen hierzu sowie in den vorgenannten Fällen zu b) und c) eine Erläuterung zur Ausgestaltung der anderweitigen Regelung vorzulegen.</w:t>
      </w:r>
    </w:p>
    <w:p w:rsidR="003A32A1" w:rsidRPr="003B79FC" w:rsidRDefault="003A32A1">
      <w:pPr>
        <w:pStyle w:val="Textkrper"/>
        <w:spacing w:line="360" w:lineRule="auto"/>
        <w:rPr>
          <w:b w:val="0"/>
          <w:bCs w:val="0"/>
          <w:sz w:val="22"/>
          <w:szCs w:val="22"/>
          <w:u w:val="none"/>
        </w:rPr>
      </w:pPr>
    </w:p>
    <w:p w:rsidR="003A32A1" w:rsidRPr="003B79FC" w:rsidRDefault="003A32A1">
      <w:pPr>
        <w:pStyle w:val="Textkrper"/>
        <w:spacing w:line="360" w:lineRule="auto"/>
        <w:rPr>
          <w:b w:val="0"/>
          <w:bCs w:val="0"/>
          <w:sz w:val="22"/>
          <w:szCs w:val="22"/>
          <w:u w:val="none"/>
        </w:rPr>
      </w:pPr>
      <w:r w:rsidRPr="003B79FC">
        <w:rPr>
          <w:b w:val="0"/>
          <w:bCs w:val="0"/>
          <w:sz w:val="22"/>
          <w:szCs w:val="22"/>
          <w:u w:val="none"/>
        </w:rPr>
        <w:lastRenderedPageBreak/>
        <w:t>Sofern in derselben Stadt bzw. in demselben Kreis keine vom Land geförderte allgemeine Frauenberatungsstelle (mehr) besteht, entfällt das Erfordernis der Kooperationsvereinbarung für die Dauer des Nichtbestehens.</w:t>
      </w:r>
      <w:r w:rsidR="0043257C" w:rsidRPr="003B79FC">
        <w:rPr>
          <w:b w:val="0"/>
          <w:bCs w:val="0"/>
          <w:sz w:val="22"/>
          <w:szCs w:val="22"/>
          <w:u w:val="none"/>
        </w:rPr>
        <w:t xml:space="preserve"> </w:t>
      </w:r>
    </w:p>
    <w:sectPr w:rsidR="003A32A1" w:rsidRPr="003B79FC">
      <w:headerReference w:type="default" r:id="rId7"/>
      <w:footerReference w:type="default" r:id="rId8"/>
      <w:pgSz w:w="11906" w:h="16838"/>
      <w:pgMar w:top="1417" w:right="1417" w:bottom="1134" w:left="1417"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94" w:rsidRDefault="00BE3E94">
      <w:r>
        <w:separator/>
      </w:r>
    </w:p>
  </w:endnote>
  <w:endnote w:type="continuationSeparator" w:id="0">
    <w:p w:rsidR="00BE3E94" w:rsidRDefault="00BE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7C" w:rsidRPr="004628E8" w:rsidRDefault="0043257C" w:rsidP="004628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94" w:rsidRDefault="00BE3E94">
      <w:r>
        <w:separator/>
      </w:r>
    </w:p>
  </w:footnote>
  <w:footnote w:type="continuationSeparator" w:id="0">
    <w:p w:rsidR="00BE3E94" w:rsidRDefault="00BE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57C" w:rsidRDefault="0043257C">
    <w:pPr>
      <w:pStyle w:val="Kopfzeile"/>
      <w:framePr w:wrap="auto" w:vAnchor="text" w:hAnchor="margin" w:xAlign="right" w:y="1"/>
      <w:rPr>
        <w:rStyle w:val="Seitenzahl"/>
        <w:rFonts w:ascii="Times New Roman" w:hAnsi="Times New Roman" w:cs="Times New Roman"/>
        <w:sz w:val="16"/>
        <w:szCs w:val="16"/>
      </w:rPr>
    </w:pPr>
    <w:r>
      <w:rPr>
        <w:rStyle w:val="Seitenzahl"/>
        <w:rFonts w:ascii="Times New Roman" w:hAnsi="Times New Roman" w:cs="Times New Roman"/>
        <w:sz w:val="20"/>
        <w:szCs w:val="20"/>
      </w:rPr>
      <w:t>Anlage</w:t>
    </w:r>
    <w:r>
      <w:rPr>
        <w:rStyle w:val="Seitenzahl"/>
        <w:rFonts w:ascii="Times New Roman" w:hAnsi="Times New Roman" w:cs="Times New Roman"/>
        <w:sz w:val="16"/>
        <w:szCs w:val="16"/>
      </w:rPr>
      <w:t xml:space="preserve"> 1</w:t>
    </w:r>
  </w:p>
  <w:p w:rsidR="0043257C" w:rsidRDefault="0043257C">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4BD"/>
    <w:multiLevelType w:val="hybridMultilevel"/>
    <w:tmpl w:val="B9B02BB6"/>
    <w:lvl w:ilvl="0" w:tplc="912E0DC6">
      <w:start w:val="78"/>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C483242"/>
    <w:multiLevelType w:val="hybridMultilevel"/>
    <w:tmpl w:val="E4A2B6CE"/>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A"/>
    <w:rsid w:val="000B7210"/>
    <w:rsid w:val="003A32A1"/>
    <w:rsid w:val="003A5D59"/>
    <w:rsid w:val="003B79FC"/>
    <w:rsid w:val="0043257C"/>
    <w:rsid w:val="004628E8"/>
    <w:rsid w:val="004E3B3E"/>
    <w:rsid w:val="007774FB"/>
    <w:rsid w:val="00783677"/>
    <w:rsid w:val="0079262C"/>
    <w:rsid w:val="00A7226A"/>
    <w:rsid w:val="00B72EC5"/>
    <w:rsid w:val="00BE3E94"/>
    <w:rsid w:val="00C337B5"/>
    <w:rsid w:val="00C97FAC"/>
    <w:rsid w:val="00F33EF2"/>
    <w:rsid w:val="00F425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F3B145-E6CC-475C-87E2-D5F3CD3E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Courier New" w:hAnsi="Courier New" w:cs="Courier New"/>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Courier New" w:hAnsi="Courier New" w:cs="Courier New"/>
      <w:sz w:val="24"/>
      <w:szCs w:val="24"/>
    </w:rPr>
  </w:style>
  <w:style w:type="character" w:styleId="Seitenzahl">
    <w:name w:val="page number"/>
    <w:basedOn w:val="Absatz-Standardschriftart"/>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Courier New" w:hAnsi="Courier New" w:cs="Courier New"/>
      <w:sz w:val="24"/>
      <w:szCs w:val="24"/>
    </w:rPr>
  </w:style>
  <w:style w:type="paragraph" w:styleId="Textkrper">
    <w:name w:val="Body Text"/>
    <w:basedOn w:val="Standard"/>
    <w:link w:val="TextkrperZchn"/>
    <w:uiPriority w:val="99"/>
    <w:rPr>
      <w:b/>
      <w:bCs/>
      <w:sz w:val="28"/>
      <w:szCs w:val="28"/>
      <w:u w:val="single"/>
    </w:rPr>
  </w:style>
  <w:style w:type="character" w:customStyle="1" w:styleId="TextkrperZchn">
    <w:name w:val="Textkörper Zchn"/>
    <w:basedOn w:val="Absatz-Standardschriftart"/>
    <w:link w:val="Textkrper"/>
    <w:uiPriority w:val="99"/>
    <w:semiHidden/>
    <w:rPr>
      <w:rFonts w:ascii="Courier New" w:hAnsi="Courier New" w:cs="Courier New"/>
      <w:sz w:val="24"/>
      <w:szCs w:val="24"/>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basedOn w:val="Absatz-Standardschriftart"/>
    <w:link w:val="Funotentext"/>
    <w:uiPriority w:val="99"/>
    <w:semiHidden/>
    <w:rPr>
      <w:rFonts w:ascii="Courier New" w:hAnsi="Courier New" w:cs="Courier New"/>
      <w:sz w:val="20"/>
      <w:szCs w:val="20"/>
    </w:rPr>
  </w:style>
  <w:style w:type="character" w:styleId="Funotenzeichen">
    <w:name w:val="footnote reference"/>
    <w:basedOn w:val="Absatz-Standardschriftar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Vorgaben zur Gestaltung der Kooperation gemäß Nr</vt:lpstr>
    </vt:vector>
  </TitlesOfParts>
  <Company>MFJFG</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Vorgaben zur Gestaltung der Kooperation gemäß Nr</dc:title>
  <dc:subject/>
  <dc:creator>Administrator</dc:creator>
  <cp:keywords/>
  <dc:description/>
  <cp:lastModifiedBy>Z4100004</cp:lastModifiedBy>
  <cp:revision>2</cp:revision>
  <cp:lastPrinted>2006-10-23T13:47:00Z</cp:lastPrinted>
  <dcterms:created xsi:type="dcterms:W3CDTF">2019-06-27T12:29:00Z</dcterms:created>
  <dcterms:modified xsi:type="dcterms:W3CDTF">2019-06-27T12:29:00Z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1031844962</vt:i4>
  </property>
  <property fmtid="{D5CDD505-2E9C-101B-9397-08002B2CF9AE}" pid="3" name="_EmailSubject">
    <vt:lpwstr>Vordrucke</vt:lpwstr>
  </property>
  <property fmtid="{D5CDD505-2E9C-101B-9397-08002B2CF9AE}" pid="4" name="_AuthorEmail">
    <vt:lpwstr>Karina.Funk@lvr.de</vt:lpwstr>
  </property>
  <property fmtid="{D5CDD505-2E9C-101B-9397-08002B2CF9AE}" pid="5" name="_AuthorEmailDisplayName">
    <vt:lpwstr>Funk, Karina</vt:lpwstr>
  </property>
  <property fmtid="{D5CDD505-2E9C-101B-9397-08002B2CF9AE}" pid="6" name="_ReviewingToolsShownOnce">
    <vt:lpwstr/>
  </property>
</Properties>
</file>